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FC32" w14:textId="77777777" w:rsidR="00BD3C74" w:rsidRPr="00BD3C74" w:rsidRDefault="00BD3C74" w:rsidP="00BD3C74">
      <w:pPr>
        <w:spacing w:line="360" w:lineRule="auto"/>
        <w:jc w:val="center"/>
        <w:rPr>
          <w:rFonts w:ascii="黑体" w:eastAsia="黑体" w:hAnsi="黑体" w:hint="eastAsia"/>
          <w:b/>
          <w:bCs/>
          <w:sz w:val="24"/>
          <w:szCs w:val="24"/>
        </w:rPr>
      </w:pPr>
      <w:r w:rsidRPr="00BD3C74">
        <w:rPr>
          <w:rFonts w:ascii="黑体" w:eastAsia="黑体" w:hAnsi="黑体" w:hint="eastAsia"/>
          <w:b/>
          <w:bCs/>
          <w:sz w:val="24"/>
          <w:szCs w:val="24"/>
        </w:rPr>
        <w:t>2025年度上海市人民政府决策咨询研究重大课题申报通知</w:t>
      </w:r>
    </w:p>
    <w:p w14:paraId="2A78CD9A" w14:textId="77777777" w:rsidR="00BD3C74" w:rsidRPr="00BD3C74" w:rsidRDefault="00BD3C74" w:rsidP="00BD3C74">
      <w:pPr>
        <w:spacing w:line="360" w:lineRule="auto"/>
        <w:jc w:val="center"/>
        <w:rPr>
          <w:rFonts w:ascii="黑体" w:eastAsia="黑体" w:hAnsi="黑体" w:hint="eastAsia"/>
        </w:rPr>
      </w:pPr>
      <w:r w:rsidRPr="00BD3C74">
        <w:rPr>
          <w:rFonts w:ascii="黑体" w:eastAsia="黑体" w:hAnsi="黑体" w:hint="eastAsia"/>
          <w:sz w:val="24"/>
          <w:szCs w:val="24"/>
        </w:rPr>
        <w:t>2025-01-23 15:15</w:t>
      </w:r>
    </w:p>
    <w:p w14:paraId="6EEA2D66" w14:textId="77777777" w:rsidR="00BD3C74" w:rsidRPr="00BD3C74" w:rsidRDefault="00BD3C74" w:rsidP="00BD3C74">
      <w:pPr>
        <w:spacing w:line="360" w:lineRule="auto"/>
        <w:rPr>
          <w:rFonts w:ascii="黑体" w:eastAsia="黑体" w:hAnsi="黑体" w:hint="eastAsia"/>
        </w:rPr>
      </w:pPr>
    </w:p>
    <w:p w14:paraId="4B8D0EED" w14:textId="297E575C" w:rsidR="00BD3C74" w:rsidRPr="00BD3C74" w:rsidRDefault="00BD3C74" w:rsidP="00BD3C74">
      <w:pPr>
        <w:spacing w:line="360" w:lineRule="auto"/>
        <w:rPr>
          <w:rFonts w:ascii="宋体" w:eastAsia="宋体" w:hAnsi="宋体" w:hint="eastAsia"/>
          <w:sz w:val="24"/>
          <w:szCs w:val="24"/>
        </w:rPr>
      </w:pPr>
      <w:r w:rsidRPr="00BD3C74">
        <w:rPr>
          <w:rFonts w:ascii="黑体" w:eastAsia="黑体" w:hAnsi="黑体" w:hint="eastAsia"/>
        </w:rPr>
        <w:t> </w:t>
      </w:r>
      <w:r w:rsidRPr="00BD3C74">
        <w:rPr>
          <w:rFonts w:ascii="宋体" w:eastAsia="宋体" w:hAnsi="宋体" w:hint="eastAsia"/>
          <w:sz w:val="24"/>
          <w:szCs w:val="24"/>
        </w:rPr>
        <w:t> </w:t>
      </w:r>
      <w:r w:rsidRPr="00BD3C74">
        <w:rPr>
          <w:rFonts w:ascii="宋体" w:eastAsia="宋体" w:hAnsi="宋体" w:hint="eastAsia"/>
          <w:sz w:val="24"/>
          <w:szCs w:val="24"/>
        </w:rPr>
        <w:t>经市政府批准，2025年度上海市人民政府决策咨询研究重大课题35项，现面向社会公开征集研究团队。具体事项通知如下：</w:t>
      </w:r>
    </w:p>
    <w:p w14:paraId="7D8274AF"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b/>
          <w:bCs/>
          <w:sz w:val="24"/>
          <w:szCs w:val="24"/>
        </w:rPr>
        <w:t>一、申报目录</w:t>
      </w:r>
    </w:p>
    <w:p w14:paraId="10C34E92"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1.强化上海“五个中心”离岸功能研究</w:t>
      </w:r>
    </w:p>
    <w:p w14:paraId="2FA9E738"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2.新形势下上海经济增长动力机制研究</w:t>
      </w:r>
    </w:p>
    <w:p w14:paraId="24182151"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3.国内外离岸金融业务系统梳理及上海发展的整体考虑和突破口研究</w:t>
      </w:r>
    </w:p>
    <w:p w14:paraId="4CC2EF53"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4.上海建立中小金融机构风险监测、早期纠正及信息沟通机制研究</w:t>
      </w:r>
    </w:p>
    <w:p w14:paraId="6D642741"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5.上海服务贸易开放度的国际比较与重点开放举措研究</w:t>
      </w:r>
    </w:p>
    <w:p w14:paraId="3642DC3B"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6.上海强化创新布局的战略敏捷和创新要素的高效整合研究</w:t>
      </w:r>
    </w:p>
    <w:p w14:paraId="3E078166"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7.上海加快构建航运绿色低碳供应链研究</w:t>
      </w:r>
    </w:p>
    <w:p w14:paraId="40FC0836"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8.提升上海“文体旅流量”与“消费增量”研究</w:t>
      </w:r>
    </w:p>
    <w:p w14:paraId="1FD3D783"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9.上海培育壮大工业服务业的思路和重点领域研究</w:t>
      </w:r>
    </w:p>
    <w:p w14:paraId="1CFF728A"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10.上海发现、甄别和培育未来产业的机制研究</w:t>
      </w:r>
    </w:p>
    <w:p w14:paraId="0ED9E995"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11.上海鼓励外资企业转型升级研究</w:t>
      </w:r>
    </w:p>
    <w:p w14:paraId="58E2BD9D"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12.上海加强对“一带一路”沿线国家的投资与贸易联动发展思路研究</w:t>
      </w:r>
    </w:p>
    <w:p w14:paraId="0D910AA0"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13.提升长三角创新能力和辐射带动作用研究</w:t>
      </w:r>
    </w:p>
    <w:p w14:paraId="105166C2"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14.临港新片区建设全球离岸创新基地研究</w:t>
      </w:r>
    </w:p>
    <w:p w14:paraId="1DDFD0A8"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15.虹桥国际中央商务区进一步发挥改革开放试验田作用研究</w:t>
      </w:r>
    </w:p>
    <w:p w14:paraId="2E548F01"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16.上海增强“五个新城”城市吸引力研究</w:t>
      </w:r>
    </w:p>
    <w:p w14:paraId="7CFEE842"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17.上海共同富裕的测度评价与推进路径研究</w:t>
      </w:r>
    </w:p>
    <w:p w14:paraId="5A213671"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18.新形势下上海创新海外引才模式研究</w:t>
      </w:r>
    </w:p>
    <w:p w14:paraId="473280AA"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19.上海创新多元化消费场景的突破口和举措研究</w:t>
      </w:r>
    </w:p>
    <w:p w14:paraId="777EDE02"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20.上海打造国内跨国企业“出海”桥头堡的生态环境研究</w:t>
      </w:r>
    </w:p>
    <w:p w14:paraId="5917F447"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21.上海支持高风险、高价值、长周期基础研究的瓶颈和对策研究</w:t>
      </w:r>
    </w:p>
    <w:p w14:paraId="070323E2"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22.上海加快建立市属国有企业履行战略使命评价制度研究</w:t>
      </w:r>
    </w:p>
    <w:p w14:paraId="1E8451A5"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23.上海优化新</w:t>
      </w:r>
      <w:proofErr w:type="gramStart"/>
      <w:r w:rsidRPr="00BD3C74">
        <w:rPr>
          <w:rFonts w:ascii="宋体" w:eastAsia="宋体" w:hAnsi="宋体" w:hint="eastAsia"/>
          <w:sz w:val="24"/>
          <w:szCs w:val="24"/>
        </w:rPr>
        <w:t>业态新领域</w:t>
      </w:r>
      <w:proofErr w:type="gramEnd"/>
      <w:r w:rsidRPr="00BD3C74">
        <w:rPr>
          <w:rFonts w:ascii="宋体" w:eastAsia="宋体" w:hAnsi="宋体" w:hint="eastAsia"/>
          <w:sz w:val="24"/>
          <w:szCs w:val="24"/>
        </w:rPr>
        <w:t>市场准入环境研究</w:t>
      </w:r>
    </w:p>
    <w:p w14:paraId="553CF7CA"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lastRenderedPageBreak/>
        <w:t> </w:t>
      </w:r>
      <w:r w:rsidRPr="00BD3C74">
        <w:rPr>
          <w:rFonts w:ascii="宋体" w:eastAsia="宋体" w:hAnsi="宋体" w:hint="eastAsia"/>
          <w:sz w:val="24"/>
          <w:szCs w:val="24"/>
        </w:rPr>
        <w:t> </w:t>
      </w:r>
      <w:r w:rsidRPr="00BD3C74">
        <w:rPr>
          <w:rFonts w:ascii="宋体" w:eastAsia="宋体" w:hAnsi="宋体" w:hint="eastAsia"/>
          <w:sz w:val="24"/>
          <w:szCs w:val="24"/>
        </w:rPr>
        <w:t>24.上海建设新型能源体系重点问题研究</w:t>
      </w:r>
    </w:p>
    <w:p w14:paraId="1EFAD9D9"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25.加快上海新型数据基础设施建设研究</w:t>
      </w:r>
    </w:p>
    <w:p w14:paraId="18842F07"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26.上海优化工业用地管理的思路与举措研究</w:t>
      </w:r>
    </w:p>
    <w:p w14:paraId="220CE72D"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27.上海城市更新中创新文化遗产保护的理念、策略和路径研究</w:t>
      </w:r>
    </w:p>
    <w:p w14:paraId="640D75B3"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28.上海推进乡村全面振兴的有效路径研究</w:t>
      </w:r>
    </w:p>
    <w:p w14:paraId="73693163"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29.上海农村居民可支配收入的结构分析研究</w:t>
      </w:r>
    </w:p>
    <w:p w14:paraId="2598893E"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30.上海构建与人口变化趋势相适应的教育资源统筹机制研究</w:t>
      </w:r>
    </w:p>
    <w:p w14:paraId="67D5E71D"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31.上海提升职业技能人才培育质效的有效路径研究</w:t>
      </w:r>
    </w:p>
    <w:p w14:paraId="14102A57"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32.上海社会心理服务体系建设和发展模式研究</w:t>
      </w:r>
    </w:p>
    <w:p w14:paraId="4B35072C"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33.上海进一步提升政府和国资投资基金能级推动新质生产力发展思路研究</w:t>
      </w:r>
    </w:p>
    <w:p w14:paraId="4C610C55"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34.上海加强政府投资基金预算绩效管理的思路与对策研究</w:t>
      </w:r>
    </w:p>
    <w:p w14:paraId="4223018E"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35.加强上海公共安全系统施治研究</w:t>
      </w:r>
    </w:p>
    <w:p w14:paraId="53FF74E8"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b/>
          <w:bCs/>
          <w:sz w:val="24"/>
          <w:szCs w:val="24"/>
        </w:rPr>
        <w:t>二、申报对象</w:t>
      </w:r>
    </w:p>
    <w:p w14:paraId="0A34DDB3"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本次申报面向全国高等院校、科研机构、社会团体、企业等单位或个人（个人申报须有课题依托管理单位）。</w:t>
      </w:r>
    </w:p>
    <w:p w14:paraId="2929C158"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申请人须具有较高的政治素质，熟悉决策咨询研究工作，并具有与所申报课题相关的研究基础。</w:t>
      </w:r>
    </w:p>
    <w:p w14:paraId="41EB11FA"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申请人应是所在单位的全职在岗人员。</w:t>
      </w:r>
    </w:p>
    <w:p w14:paraId="721D88D2"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在申报截止日之前，已作为课题负责人承担在</w:t>
      </w:r>
      <w:proofErr w:type="gramStart"/>
      <w:r w:rsidRPr="00BD3C74">
        <w:rPr>
          <w:rFonts w:ascii="宋体" w:eastAsia="宋体" w:hAnsi="宋体" w:hint="eastAsia"/>
          <w:sz w:val="24"/>
          <w:szCs w:val="24"/>
        </w:rPr>
        <w:t>研</w:t>
      </w:r>
      <w:proofErr w:type="gramEnd"/>
      <w:r w:rsidRPr="00BD3C74">
        <w:rPr>
          <w:rFonts w:ascii="宋体" w:eastAsia="宋体" w:hAnsi="宋体" w:hint="eastAsia"/>
          <w:sz w:val="24"/>
          <w:szCs w:val="24"/>
        </w:rPr>
        <w:t>的市政府决策咨询课题的人员，不得申请。</w:t>
      </w:r>
    </w:p>
    <w:p w14:paraId="7216DACB"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b/>
          <w:bCs/>
          <w:sz w:val="24"/>
          <w:szCs w:val="24"/>
        </w:rPr>
        <w:t>三、申报方式及程序</w:t>
      </w:r>
    </w:p>
    <w:p w14:paraId="71D49D59"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1．申报方式：采用网上申报方式，无需提交纸质材料。申请人通过登录上海市人民政府发展研究中心网站（http://www.fzzx.sh.gov.cn）——“课题申报”栏目——“决策咨询研究项目管理平台”进行申报。</w:t>
      </w:r>
    </w:p>
    <w:p w14:paraId="04A54610"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 申报步骤：（1）申请人所在单位进行注册（单位注册需使用“法人一证通”进行校验），已注册用户不用重复注册；（2）申请人注册并完成实名认证（已注册用户可直接登录）；（3）申请人填写提交申报材料；（4）申请人所在单位完成网上审核。</w:t>
      </w:r>
    </w:p>
    <w:p w14:paraId="537D887C"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3．课题指南获取：登录上海市人民政府发展研究中心网站查阅《2025年度</w:t>
      </w:r>
      <w:r w:rsidRPr="00BD3C74">
        <w:rPr>
          <w:rFonts w:ascii="宋体" w:eastAsia="宋体" w:hAnsi="宋体" w:hint="eastAsia"/>
          <w:sz w:val="24"/>
          <w:szCs w:val="24"/>
        </w:rPr>
        <w:lastRenderedPageBreak/>
        <w:t>上海市人民政府决策咨询研究重大课题指南》。</w:t>
      </w:r>
    </w:p>
    <w:p w14:paraId="11E9F17D"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4．申报数量限制：同一申请人限申报1项。</w:t>
      </w:r>
    </w:p>
    <w:p w14:paraId="56E2063A" w14:textId="77777777" w:rsidR="00BD3C74" w:rsidRPr="00DF3686"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5．在线填写要求：申请人应仔细阅读课题指南和填表说明；申报材料应简明扼要</w:t>
      </w:r>
      <w:r w:rsidRPr="00DF3686">
        <w:rPr>
          <w:rFonts w:ascii="宋体" w:eastAsia="宋体" w:hAnsi="宋体" w:hint="eastAsia"/>
          <w:sz w:val="24"/>
          <w:szCs w:val="24"/>
        </w:rPr>
        <w:t>，突出重点和关键，其中《课题论证活页》部分不得出现课题申请人及成员的姓名和单位，字数不超过3000字，图表不超过规定尺寸。</w:t>
      </w:r>
    </w:p>
    <w:p w14:paraId="3815B34A" w14:textId="77777777" w:rsidR="00BD3C74" w:rsidRPr="00DF3686" w:rsidRDefault="00BD3C74" w:rsidP="00BD3C74">
      <w:pPr>
        <w:spacing w:line="360" w:lineRule="auto"/>
        <w:rPr>
          <w:rFonts w:ascii="宋体" w:eastAsia="宋体" w:hAnsi="宋体" w:hint="eastAsia"/>
          <w:sz w:val="24"/>
          <w:szCs w:val="24"/>
        </w:rPr>
      </w:pPr>
      <w:r w:rsidRPr="00DF3686">
        <w:rPr>
          <w:rFonts w:ascii="宋体" w:eastAsia="宋体" w:hAnsi="宋体" w:hint="eastAsia"/>
          <w:sz w:val="24"/>
          <w:szCs w:val="24"/>
        </w:rPr>
        <w:t> </w:t>
      </w:r>
      <w:r w:rsidRPr="00DF3686">
        <w:rPr>
          <w:rFonts w:ascii="宋体" w:eastAsia="宋体" w:hAnsi="宋体" w:hint="eastAsia"/>
          <w:sz w:val="24"/>
          <w:szCs w:val="24"/>
        </w:rPr>
        <w:t> </w:t>
      </w:r>
      <w:r w:rsidRPr="00DF3686">
        <w:rPr>
          <w:rFonts w:ascii="宋体" w:eastAsia="宋体" w:hAnsi="宋体" w:hint="eastAsia"/>
          <w:sz w:val="24"/>
          <w:szCs w:val="24"/>
        </w:rPr>
        <w:t>6．网上申报受理日期：2025年1月24日（星期五）至2月12日（星期三）（截止于当天17时，含申请人所在单位完成网上审核）。</w:t>
      </w:r>
    </w:p>
    <w:p w14:paraId="338BFE04"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b/>
          <w:bCs/>
          <w:sz w:val="24"/>
          <w:szCs w:val="24"/>
        </w:rPr>
        <w:t>四、评审程序</w:t>
      </w:r>
    </w:p>
    <w:p w14:paraId="1C9CBB05"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1．申报受理后，由上海市人民政府发展研究中心组织评审。</w:t>
      </w:r>
    </w:p>
    <w:p w14:paraId="43BF60F2"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2．评审结果将于2025年3月通过上海市人民政府发展研究中心网站等渠道向社会公布。</w:t>
      </w:r>
    </w:p>
    <w:p w14:paraId="1FF6EB40"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b/>
          <w:bCs/>
          <w:sz w:val="24"/>
          <w:szCs w:val="24"/>
        </w:rPr>
        <w:t>五、时间进度及成果要求</w:t>
      </w:r>
    </w:p>
    <w:p w14:paraId="5EABA6BA"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1. 研究期限为2025年3月至8月。</w:t>
      </w:r>
    </w:p>
    <w:p w14:paraId="7A281B69"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 提交研究成果包括：研究报告（含摘要）、专报和学术论文。</w:t>
      </w:r>
    </w:p>
    <w:p w14:paraId="6FB09649"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b/>
          <w:bCs/>
          <w:sz w:val="24"/>
          <w:szCs w:val="24"/>
        </w:rPr>
        <w:t>六、经费资助</w:t>
      </w:r>
    </w:p>
    <w:p w14:paraId="64825432"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每项资助人民币10万元至15万元。</w:t>
      </w:r>
    </w:p>
    <w:p w14:paraId="76E4EEBB"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b/>
          <w:bCs/>
          <w:sz w:val="24"/>
          <w:szCs w:val="24"/>
        </w:rPr>
        <w:t>七、联系方式</w:t>
      </w:r>
    </w:p>
    <w:p w14:paraId="47A783B4"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受理部门：上海市人民政府发展研究中心科研处</w:t>
      </w:r>
    </w:p>
    <w:p w14:paraId="00746F54"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地址：上海市黄浦区大沽路100号18楼（邮编：200003）</w:t>
      </w:r>
    </w:p>
    <w:p w14:paraId="0DDFA251"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咨询电话：（021）23113419；63586072（受理时间为周一至周五9:00—11:30，13:30—17:00，节假日除外）</w:t>
      </w:r>
    </w:p>
    <w:p w14:paraId="5762A4C3"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电子邮箱：fzzx01@shanghai.gov.cn</w:t>
      </w:r>
    </w:p>
    <w:p w14:paraId="7E57C00A"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特此通知。</w:t>
      </w:r>
    </w:p>
    <w:p w14:paraId="076F3713" w14:textId="77777777" w:rsidR="00BD3C74" w:rsidRPr="00BD3C74" w:rsidRDefault="00BD3C74" w:rsidP="00BD3C74">
      <w:pPr>
        <w:spacing w:line="360" w:lineRule="auto"/>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p>
    <w:p w14:paraId="50A075B2" w14:textId="77777777" w:rsidR="00BD3C74" w:rsidRPr="00BD3C74" w:rsidRDefault="00BD3C74" w:rsidP="00BD3C74">
      <w:pPr>
        <w:spacing w:line="360" w:lineRule="auto"/>
        <w:jc w:val="right"/>
        <w:rPr>
          <w:rFonts w:ascii="宋体" w:eastAsia="宋体" w:hAnsi="宋体" w:hint="eastAsia"/>
          <w:sz w:val="24"/>
          <w:szCs w:val="24"/>
        </w:rPr>
      </w:pPr>
      <w:r w:rsidRPr="00BD3C74">
        <w:rPr>
          <w:rFonts w:ascii="宋体" w:eastAsia="宋体" w:hAnsi="宋体" w:hint="eastAsia"/>
          <w:sz w:val="24"/>
          <w:szCs w:val="24"/>
        </w:rPr>
        <w:t>上海市人民政府发展研究中心</w:t>
      </w:r>
    </w:p>
    <w:p w14:paraId="36D0046F" w14:textId="77777777" w:rsidR="00BD3C74" w:rsidRPr="00BD3C74" w:rsidRDefault="00BD3C74" w:rsidP="00BD3C74">
      <w:pPr>
        <w:spacing w:line="360" w:lineRule="auto"/>
        <w:jc w:val="right"/>
        <w:rPr>
          <w:rFonts w:ascii="宋体" w:eastAsia="宋体" w:hAnsi="宋体" w:hint="eastAsia"/>
          <w:sz w:val="24"/>
          <w:szCs w:val="24"/>
        </w:rPr>
      </w:pPr>
      <w:r w:rsidRPr="00BD3C74">
        <w:rPr>
          <w:rFonts w:ascii="宋体" w:eastAsia="宋体" w:hAnsi="宋体" w:hint="eastAsia"/>
          <w:sz w:val="24"/>
          <w:szCs w:val="24"/>
        </w:rPr>
        <w:t> </w:t>
      </w:r>
      <w:r w:rsidRPr="00BD3C74">
        <w:rPr>
          <w:rFonts w:ascii="宋体" w:eastAsia="宋体" w:hAnsi="宋体" w:hint="eastAsia"/>
          <w:sz w:val="24"/>
          <w:szCs w:val="24"/>
        </w:rPr>
        <w:t> </w:t>
      </w:r>
      <w:r w:rsidRPr="00BD3C74">
        <w:rPr>
          <w:rFonts w:ascii="宋体" w:eastAsia="宋体" w:hAnsi="宋体" w:hint="eastAsia"/>
          <w:sz w:val="24"/>
          <w:szCs w:val="24"/>
        </w:rPr>
        <w:t>2025年1月23日</w:t>
      </w:r>
    </w:p>
    <w:p w14:paraId="34113733" w14:textId="77777777" w:rsidR="00817EA7" w:rsidRPr="00BD3C74" w:rsidRDefault="00817EA7" w:rsidP="00BD3C74">
      <w:pPr>
        <w:spacing w:line="360" w:lineRule="auto"/>
        <w:rPr>
          <w:rFonts w:ascii="黑体" w:eastAsia="黑体" w:hAnsi="黑体" w:hint="eastAsia"/>
        </w:rPr>
      </w:pPr>
    </w:p>
    <w:sectPr w:rsidR="00817EA7" w:rsidRPr="00BD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9F"/>
    <w:rsid w:val="003755B5"/>
    <w:rsid w:val="00514DD1"/>
    <w:rsid w:val="005849D1"/>
    <w:rsid w:val="007F1A9F"/>
    <w:rsid w:val="00817EA7"/>
    <w:rsid w:val="00BD3C74"/>
    <w:rsid w:val="00DF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C4FF"/>
  <w15:chartTrackingRefBased/>
  <w15:docId w15:val="{C19DC036-53B5-4A84-BAEB-3F0F3EF3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A9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7F1A9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A9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A9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F1A9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A9F"/>
    <w:rPr>
      <w:rFonts w:cstheme="majorBidi"/>
      <w:color w:val="2F5496" w:themeColor="accent1" w:themeShade="BF"/>
      <w:sz w:val="28"/>
      <w:szCs w:val="28"/>
    </w:rPr>
  </w:style>
  <w:style w:type="character" w:customStyle="1" w:styleId="50">
    <w:name w:val="标题 5 字符"/>
    <w:basedOn w:val="a0"/>
    <w:link w:val="5"/>
    <w:uiPriority w:val="9"/>
    <w:semiHidden/>
    <w:rsid w:val="007F1A9F"/>
    <w:rPr>
      <w:rFonts w:cstheme="majorBidi"/>
      <w:color w:val="2F5496" w:themeColor="accent1" w:themeShade="BF"/>
      <w:sz w:val="24"/>
      <w:szCs w:val="24"/>
    </w:rPr>
  </w:style>
  <w:style w:type="character" w:customStyle="1" w:styleId="60">
    <w:name w:val="标题 6 字符"/>
    <w:basedOn w:val="a0"/>
    <w:link w:val="6"/>
    <w:uiPriority w:val="9"/>
    <w:semiHidden/>
    <w:rsid w:val="007F1A9F"/>
    <w:rPr>
      <w:rFonts w:cstheme="majorBidi"/>
      <w:b/>
      <w:bCs/>
      <w:color w:val="2F5496" w:themeColor="accent1" w:themeShade="BF"/>
    </w:rPr>
  </w:style>
  <w:style w:type="character" w:customStyle="1" w:styleId="70">
    <w:name w:val="标题 7 字符"/>
    <w:basedOn w:val="a0"/>
    <w:link w:val="7"/>
    <w:uiPriority w:val="9"/>
    <w:semiHidden/>
    <w:rsid w:val="007F1A9F"/>
    <w:rPr>
      <w:rFonts w:cstheme="majorBidi"/>
      <w:b/>
      <w:bCs/>
      <w:color w:val="595959" w:themeColor="text1" w:themeTint="A6"/>
    </w:rPr>
  </w:style>
  <w:style w:type="character" w:customStyle="1" w:styleId="80">
    <w:name w:val="标题 8 字符"/>
    <w:basedOn w:val="a0"/>
    <w:link w:val="8"/>
    <w:uiPriority w:val="9"/>
    <w:semiHidden/>
    <w:rsid w:val="007F1A9F"/>
    <w:rPr>
      <w:rFonts w:cstheme="majorBidi"/>
      <w:color w:val="595959" w:themeColor="text1" w:themeTint="A6"/>
    </w:rPr>
  </w:style>
  <w:style w:type="character" w:customStyle="1" w:styleId="90">
    <w:name w:val="标题 9 字符"/>
    <w:basedOn w:val="a0"/>
    <w:link w:val="9"/>
    <w:uiPriority w:val="9"/>
    <w:semiHidden/>
    <w:rsid w:val="007F1A9F"/>
    <w:rPr>
      <w:rFonts w:eastAsiaTheme="majorEastAsia" w:cstheme="majorBidi"/>
      <w:color w:val="595959" w:themeColor="text1" w:themeTint="A6"/>
    </w:rPr>
  </w:style>
  <w:style w:type="paragraph" w:styleId="a3">
    <w:name w:val="Title"/>
    <w:basedOn w:val="a"/>
    <w:next w:val="a"/>
    <w:link w:val="a4"/>
    <w:uiPriority w:val="10"/>
    <w:qFormat/>
    <w:rsid w:val="007F1A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A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A9F"/>
    <w:pPr>
      <w:spacing w:before="160" w:after="160"/>
      <w:jc w:val="center"/>
    </w:pPr>
    <w:rPr>
      <w:i/>
      <w:iCs/>
      <w:color w:val="404040" w:themeColor="text1" w:themeTint="BF"/>
    </w:rPr>
  </w:style>
  <w:style w:type="character" w:customStyle="1" w:styleId="a8">
    <w:name w:val="引用 字符"/>
    <w:basedOn w:val="a0"/>
    <w:link w:val="a7"/>
    <w:uiPriority w:val="29"/>
    <w:rsid w:val="007F1A9F"/>
    <w:rPr>
      <w:i/>
      <w:iCs/>
      <w:color w:val="404040" w:themeColor="text1" w:themeTint="BF"/>
    </w:rPr>
  </w:style>
  <w:style w:type="paragraph" w:styleId="a9">
    <w:name w:val="List Paragraph"/>
    <w:basedOn w:val="a"/>
    <w:uiPriority w:val="34"/>
    <w:qFormat/>
    <w:rsid w:val="007F1A9F"/>
    <w:pPr>
      <w:ind w:left="720"/>
      <w:contextualSpacing/>
    </w:pPr>
  </w:style>
  <w:style w:type="character" w:styleId="aa">
    <w:name w:val="Intense Emphasis"/>
    <w:basedOn w:val="a0"/>
    <w:uiPriority w:val="21"/>
    <w:qFormat/>
    <w:rsid w:val="007F1A9F"/>
    <w:rPr>
      <w:i/>
      <w:iCs/>
      <w:color w:val="2F5496" w:themeColor="accent1" w:themeShade="BF"/>
    </w:rPr>
  </w:style>
  <w:style w:type="paragraph" w:styleId="ab">
    <w:name w:val="Intense Quote"/>
    <w:basedOn w:val="a"/>
    <w:next w:val="a"/>
    <w:link w:val="ac"/>
    <w:uiPriority w:val="30"/>
    <w:qFormat/>
    <w:rsid w:val="007F1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A9F"/>
    <w:rPr>
      <w:i/>
      <w:iCs/>
      <w:color w:val="2F5496" w:themeColor="accent1" w:themeShade="BF"/>
    </w:rPr>
  </w:style>
  <w:style w:type="character" w:styleId="ad">
    <w:name w:val="Intense Reference"/>
    <w:basedOn w:val="a0"/>
    <w:uiPriority w:val="32"/>
    <w:qFormat/>
    <w:rsid w:val="007F1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348645">
      <w:bodyDiv w:val="1"/>
      <w:marLeft w:val="0"/>
      <w:marRight w:val="0"/>
      <w:marTop w:val="0"/>
      <w:marBottom w:val="0"/>
      <w:divBdr>
        <w:top w:val="none" w:sz="0" w:space="0" w:color="auto"/>
        <w:left w:val="none" w:sz="0" w:space="0" w:color="auto"/>
        <w:bottom w:val="none" w:sz="0" w:space="0" w:color="auto"/>
        <w:right w:val="none" w:sz="0" w:space="0" w:color="auto"/>
      </w:divBdr>
      <w:divsChild>
        <w:div w:id="2091080564">
          <w:marLeft w:val="0"/>
          <w:marRight w:val="0"/>
          <w:marTop w:val="150"/>
          <w:marBottom w:val="150"/>
          <w:divBdr>
            <w:top w:val="none" w:sz="0" w:space="0" w:color="auto"/>
            <w:left w:val="none" w:sz="0" w:space="0" w:color="auto"/>
            <w:bottom w:val="none" w:sz="0" w:space="0" w:color="auto"/>
            <w:right w:val="none" w:sz="0" w:space="0" w:color="auto"/>
          </w:divBdr>
        </w:div>
        <w:div w:id="1196426955">
          <w:marLeft w:val="0"/>
          <w:marRight w:val="0"/>
          <w:marTop w:val="75"/>
          <w:marBottom w:val="75"/>
          <w:divBdr>
            <w:top w:val="none" w:sz="0" w:space="0" w:color="auto"/>
            <w:left w:val="none" w:sz="0" w:space="0" w:color="auto"/>
            <w:bottom w:val="none" w:sz="0" w:space="0" w:color="auto"/>
            <w:right w:val="none" w:sz="0" w:space="0" w:color="auto"/>
          </w:divBdr>
          <w:divsChild>
            <w:div w:id="293828223">
              <w:marLeft w:val="105"/>
              <w:marRight w:val="105"/>
              <w:marTop w:val="0"/>
              <w:marBottom w:val="0"/>
              <w:divBdr>
                <w:top w:val="none" w:sz="0" w:space="0" w:color="auto"/>
                <w:left w:val="none" w:sz="0" w:space="0" w:color="auto"/>
                <w:bottom w:val="none" w:sz="0" w:space="0" w:color="auto"/>
                <w:right w:val="none" w:sz="0" w:space="0" w:color="auto"/>
              </w:divBdr>
            </w:div>
            <w:div w:id="167213697">
              <w:marLeft w:val="105"/>
              <w:marRight w:val="105"/>
              <w:marTop w:val="0"/>
              <w:marBottom w:val="0"/>
              <w:divBdr>
                <w:top w:val="none" w:sz="0" w:space="0" w:color="auto"/>
                <w:left w:val="none" w:sz="0" w:space="0" w:color="auto"/>
                <w:bottom w:val="none" w:sz="0" w:space="0" w:color="auto"/>
                <w:right w:val="none" w:sz="0" w:space="0" w:color="auto"/>
              </w:divBdr>
            </w:div>
            <w:div w:id="1124732017">
              <w:marLeft w:val="105"/>
              <w:marRight w:val="105"/>
              <w:marTop w:val="0"/>
              <w:marBottom w:val="0"/>
              <w:divBdr>
                <w:top w:val="none" w:sz="0" w:space="0" w:color="auto"/>
                <w:left w:val="none" w:sz="0" w:space="0" w:color="auto"/>
                <w:bottom w:val="none" w:sz="0" w:space="0" w:color="auto"/>
                <w:right w:val="none" w:sz="0" w:space="0" w:color="auto"/>
              </w:divBdr>
            </w:div>
          </w:divsChild>
        </w:div>
        <w:div w:id="839201967">
          <w:marLeft w:val="0"/>
          <w:marRight w:val="0"/>
          <w:marTop w:val="150"/>
          <w:marBottom w:val="150"/>
          <w:divBdr>
            <w:top w:val="none" w:sz="0" w:space="0" w:color="auto"/>
            <w:left w:val="none" w:sz="0" w:space="0" w:color="auto"/>
            <w:bottom w:val="none" w:sz="0" w:space="0" w:color="auto"/>
            <w:right w:val="none" w:sz="0" w:space="0" w:color="auto"/>
          </w:divBdr>
        </w:div>
      </w:divsChild>
    </w:div>
    <w:div w:id="1998875597">
      <w:bodyDiv w:val="1"/>
      <w:marLeft w:val="0"/>
      <w:marRight w:val="0"/>
      <w:marTop w:val="0"/>
      <w:marBottom w:val="0"/>
      <w:divBdr>
        <w:top w:val="none" w:sz="0" w:space="0" w:color="auto"/>
        <w:left w:val="none" w:sz="0" w:space="0" w:color="auto"/>
        <w:bottom w:val="none" w:sz="0" w:space="0" w:color="auto"/>
        <w:right w:val="none" w:sz="0" w:space="0" w:color="auto"/>
      </w:divBdr>
      <w:divsChild>
        <w:div w:id="470171208">
          <w:marLeft w:val="0"/>
          <w:marRight w:val="0"/>
          <w:marTop w:val="150"/>
          <w:marBottom w:val="150"/>
          <w:divBdr>
            <w:top w:val="none" w:sz="0" w:space="0" w:color="auto"/>
            <w:left w:val="none" w:sz="0" w:space="0" w:color="auto"/>
            <w:bottom w:val="none" w:sz="0" w:space="0" w:color="auto"/>
            <w:right w:val="none" w:sz="0" w:space="0" w:color="auto"/>
          </w:divBdr>
        </w:div>
        <w:div w:id="2021807863">
          <w:marLeft w:val="0"/>
          <w:marRight w:val="0"/>
          <w:marTop w:val="75"/>
          <w:marBottom w:val="75"/>
          <w:divBdr>
            <w:top w:val="none" w:sz="0" w:space="0" w:color="auto"/>
            <w:left w:val="none" w:sz="0" w:space="0" w:color="auto"/>
            <w:bottom w:val="none" w:sz="0" w:space="0" w:color="auto"/>
            <w:right w:val="none" w:sz="0" w:space="0" w:color="auto"/>
          </w:divBdr>
          <w:divsChild>
            <w:div w:id="2030452476">
              <w:marLeft w:val="105"/>
              <w:marRight w:val="105"/>
              <w:marTop w:val="0"/>
              <w:marBottom w:val="0"/>
              <w:divBdr>
                <w:top w:val="none" w:sz="0" w:space="0" w:color="auto"/>
                <w:left w:val="none" w:sz="0" w:space="0" w:color="auto"/>
                <w:bottom w:val="none" w:sz="0" w:space="0" w:color="auto"/>
                <w:right w:val="none" w:sz="0" w:space="0" w:color="auto"/>
              </w:divBdr>
            </w:div>
            <w:div w:id="1362171757">
              <w:marLeft w:val="105"/>
              <w:marRight w:val="105"/>
              <w:marTop w:val="0"/>
              <w:marBottom w:val="0"/>
              <w:divBdr>
                <w:top w:val="none" w:sz="0" w:space="0" w:color="auto"/>
                <w:left w:val="none" w:sz="0" w:space="0" w:color="auto"/>
                <w:bottom w:val="none" w:sz="0" w:space="0" w:color="auto"/>
                <w:right w:val="none" w:sz="0" w:space="0" w:color="auto"/>
              </w:divBdr>
            </w:div>
            <w:div w:id="855539704">
              <w:marLeft w:val="105"/>
              <w:marRight w:val="105"/>
              <w:marTop w:val="0"/>
              <w:marBottom w:val="0"/>
              <w:divBdr>
                <w:top w:val="none" w:sz="0" w:space="0" w:color="auto"/>
                <w:left w:val="none" w:sz="0" w:space="0" w:color="auto"/>
                <w:bottom w:val="none" w:sz="0" w:space="0" w:color="auto"/>
                <w:right w:val="none" w:sz="0" w:space="0" w:color="auto"/>
              </w:divBdr>
            </w:div>
          </w:divsChild>
        </w:div>
        <w:div w:id="19350873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Cosmos Tiger Gu</dc:creator>
  <cp:keywords/>
  <dc:description/>
  <cp:lastModifiedBy>Cosmos Tiger Gu</cp:lastModifiedBy>
  <cp:revision>3</cp:revision>
  <dcterms:created xsi:type="dcterms:W3CDTF">2025-01-23T13:11:00Z</dcterms:created>
  <dcterms:modified xsi:type="dcterms:W3CDTF">2025-01-24T02:27:00Z</dcterms:modified>
</cp:coreProperties>
</file>